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C9FF4" w14:textId="043762C5" w:rsidR="00445E90" w:rsidRPr="00274334" w:rsidRDefault="7EB42175" w:rsidP="009F1F28">
      <w:pPr>
        <w:pStyle w:val="Heading1"/>
        <w:spacing w:line="259" w:lineRule="auto"/>
      </w:pPr>
      <w:r w:rsidRPr="7EB42175">
        <w:rPr>
          <w:color w:val="000000" w:themeColor="text1"/>
        </w:rPr>
        <w:t>Prepare Now for Growth Later: Design Strategies for High Enrollment Courses</w:t>
      </w:r>
    </w:p>
    <w:p w14:paraId="22224361" w14:textId="5E1DF0DF" w:rsidR="00445E90" w:rsidRPr="00274334" w:rsidRDefault="00145BDA" w:rsidP="009F1F28">
      <w:pPr>
        <w:spacing w:before="200"/>
        <w:rPr>
          <w:rFonts w:cs="Arial"/>
          <w:b/>
          <w:bCs/>
          <w:color w:val="000000" w:themeColor="text1"/>
          <w:sz w:val="24"/>
          <w:szCs w:val="24"/>
        </w:rPr>
      </w:pPr>
      <w:r w:rsidRPr="00274334">
        <w:rPr>
          <w:rFonts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88964" wp14:editId="336F3887">
                <wp:simplePos x="0" y="0"/>
                <wp:positionH relativeFrom="column">
                  <wp:posOffset>-1</wp:posOffset>
                </wp:positionH>
                <wp:positionV relativeFrom="paragraph">
                  <wp:posOffset>15239</wp:posOffset>
                </wp:positionV>
                <wp:extent cx="9077325" cy="9525"/>
                <wp:effectExtent l="38100" t="38100" r="6667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73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537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BC42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71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" strokecolor="#5b5377" strokeweight="2pt">
                <v:shadow on="t" color="black" opacity="24903f" origin=",.5" offset="0,.55556mm"/>
              </v:line>
            </w:pict>
          </mc:Fallback>
        </mc:AlternateContent>
      </w:r>
      <w:r w:rsidR="7EB42175" w:rsidRPr="7EB42175">
        <w:rPr>
          <w:rFonts w:cs="Arial"/>
          <w:b/>
          <w:bCs/>
          <w:color w:val="000000" w:themeColor="text1"/>
          <w:sz w:val="24"/>
          <w:szCs w:val="24"/>
        </w:rPr>
        <w:t>Category Key:</w:t>
      </w:r>
    </w:p>
    <w:p w14:paraId="3866617D" w14:textId="65266A0C" w:rsidR="00445E90" w:rsidRPr="00274334" w:rsidRDefault="7EB42175" w:rsidP="7EB42175">
      <w:pPr>
        <w:rPr>
          <w:rFonts w:cs="Arial"/>
          <w:color w:val="000000" w:themeColor="text1"/>
          <w:sz w:val="24"/>
          <w:szCs w:val="24"/>
        </w:rPr>
      </w:pPr>
      <w:r w:rsidRPr="7EB42175">
        <w:rPr>
          <w:rFonts w:cs="Arial"/>
          <w:color w:val="00B050"/>
          <w:sz w:val="24"/>
          <w:szCs w:val="24"/>
        </w:rPr>
        <w:t xml:space="preserve">BP </w:t>
      </w:r>
      <w:r w:rsidRPr="7EB42175">
        <w:rPr>
          <w:rFonts w:cs="Arial"/>
          <w:color w:val="000000" w:themeColor="text1"/>
          <w:sz w:val="24"/>
          <w:szCs w:val="24"/>
        </w:rPr>
        <w:t>= General best practice for all courses</w:t>
      </w:r>
    </w:p>
    <w:p w14:paraId="432A201E" w14:textId="43E9E080" w:rsidR="00445E90" w:rsidRPr="00274334" w:rsidRDefault="7EB42175" w:rsidP="7EB42175">
      <w:pPr>
        <w:rPr>
          <w:rFonts w:cs="Arial"/>
          <w:color w:val="000000" w:themeColor="text1"/>
          <w:sz w:val="24"/>
          <w:szCs w:val="24"/>
        </w:rPr>
      </w:pPr>
      <w:r w:rsidRPr="7EB42175">
        <w:rPr>
          <w:rFonts w:cs="Arial"/>
          <w:color w:val="0070C0"/>
          <w:sz w:val="24"/>
          <w:szCs w:val="24"/>
        </w:rPr>
        <w:t xml:space="preserve">HE </w:t>
      </w:r>
      <w:r w:rsidRPr="7EB42175">
        <w:rPr>
          <w:rFonts w:cs="Arial"/>
          <w:color w:val="000000" w:themeColor="text1"/>
          <w:sz w:val="24"/>
          <w:szCs w:val="24"/>
        </w:rPr>
        <w:t>= Proactive strategy for high enrollment courses and growth; Best to incorporate early in course design to prevent rework later</w:t>
      </w:r>
    </w:p>
    <w:p w14:paraId="4D273EDA" w14:textId="77777777" w:rsidR="7EB42175" w:rsidRDefault="7EB42175" w:rsidP="7EB42175">
      <w:pPr>
        <w:rPr>
          <w:rFonts w:cs="Arial"/>
          <w:b/>
          <w:bCs/>
          <w:color w:val="000000" w:themeColor="text1"/>
          <w:sz w:val="24"/>
          <w:szCs w:val="24"/>
        </w:rPr>
      </w:pPr>
    </w:p>
    <w:tbl>
      <w:tblPr>
        <w:tblStyle w:val="TableGrid1"/>
        <w:tblW w:w="144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95"/>
        <w:gridCol w:w="7910"/>
        <w:gridCol w:w="2190"/>
        <w:gridCol w:w="2505"/>
      </w:tblGrid>
      <w:tr w:rsidR="00274334" w:rsidRPr="007622B6" w14:paraId="24069667" w14:textId="77777777" w:rsidTr="008B546B">
        <w:trPr>
          <w:trHeight w:val="323"/>
        </w:trPr>
        <w:tc>
          <w:tcPr>
            <w:tcW w:w="1795" w:type="dxa"/>
            <w:shd w:val="clear" w:color="auto" w:fill="BFBFBF" w:themeFill="background1" w:themeFillShade="BF"/>
            <w:vAlign w:val="center"/>
          </w:tcPr>
          <w:p w14:paraId="1903AA8F" w14:textId="77777777" w:rsidR="00974E09" w:rsidRPr="007622B6" w:rsidRDefault="00974E09" w:rsidP="00095AF5">
            <w:pPr>
              <w:jc w:val="center"/>
              <w:rPr>
                <w:rStyle w:val="Strong"/>
                <w:color w:val="000000" w:themeColor="text1"/>
              </w:rPr>
            </w:pPr>
            <w:r w:rsidRPr="007622B6">
              <w:rPr>
                <w:rStyle w:val="Strong"/>
                <w:color w:val="000000" w:themeColor="text1"/>
              </w:rPr>
              <w:t>Principles</w:t>
            </w:r>
          </w:p>
        </w:tc>
        <w:tc>
          <w:tcPr>
            <w:tcW w:w="7910" w:type="dxa"/>
            <w:shd w:val="clear" w:color="auto" w:fill="BFBFBF" w:themeFill="background1" w:themeFillShade="BF"/>
            <w:vAlign w:val="center"/>
          </w:tcPr>
          <w:p w14:paraId="3CB2F3E9" w14:textId="77777777" w:rsidR="00974E09" w:rsidRPr="007622B6" w:rsidRDefault="00974E09" w:rsidP="00095AF5">
            <w:pPr>
              <w:jc w:val="center"/>
              <w:rPr>
                <w:rStyle w:val="Strong"/>
                <w:color w:val="000000" w:themeColor="text1"/>
              </w:rPr>
            </w:pPr>
            <w:r w:rsidRPr="007622B6">
              <w:rPr>
                <w:rStyle w:val="Strong"/>
                <w:color w:val="000000" w:themeColor="text1"/>
              </w:rPr>
              <w:t>Practical Applications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14:paraId="4DC8DD2E" w14:textId="7FEA50D1" w:rsidR="7EB42175" w:rsidRDefault="7EB42175" w:rsidP="7EB42175">
            <w:pPr>
              <w:jc w:val="center"/>
              <w:rPr>
                <w:rStyle w:val="Strong"/>
                <w:color w:val="000000" w:themeColor="text1"/>
              </w:rPr>
            </w:pPr>
            <w:r w:rsidRPr="7EB42175">
              <w:rPr>
                <w:rStyle w:val="Strong"/>
                <w:color w:val="000000" w:themeColor="text1"/>
              </w:rPr>
              <w:t>Category</w:t>
            </w:r>
          </w:p>
        </w:tc>
        <w:tc>
          <w:tcPr>
            <w:tcW w:w="2505" w:type="dxa"/>
            <w:shd w:val="clear" w:color="auto" w:fill="BFBFBF" w:themeFill="background1" w:themeFillShade="BF"/>
            <w:vAlign w:val="center"/>
          </w:tcPr>
          <w:p w14:paraId="384401D2" w14:textId="77777777" w:rsidR="00974E09" w:rsidRPr="007622B6" w:rsidRDefault="00974E09" w:rsidP="00095AF5">
            <w:pPr>
              <w:jc w:val="center"/>
              <w:rPr>
                <w:rStyle w:val="Strong"/>
                <w:color w:val="000000" w:themeColor="text1"/>
              </w:rPr>
            </w:pPr>
            <w:r w:rsidRPr="007622B6">
              <w:rPr>
                <w:rStyle w:val="Strong"/>
                <w:color w:val="000000" w:themeColor="text1"/>
              </w:rPr>
              <w:t>Additional Resources</w:t>
            </w:r>
          </w:p>
        </w:tc>
      </w:tr>
      <w:tr w:rsidR="00274334" w:rsidRPr="007622B6" w14:paraId="2F2E0F4A" w14:textId="77777777" w:rsidTr="008B546B">
        <w:trPr>
          <w:trHeight w:val="3500"/>
        </w:trPr>
        <w:tc>
          <w:tcPr>
            <w:tcW w:w="1795" w:type="dxa"/>
          </w:tcPr>
          <w:p w14:paraId="5BFD24BF" w14:textId="36419528" w:rsidR="00974E09" w:rsidRPr="007622B6" w:rsidRDefault="7EB42175" w:rsidP="7EB42175">
            <w:p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Assessment Management</w:t>
            </w:r>
          </w:p>
        </w:tc>
        <w:tc>
          <w:tcPr>
            <w:tcW w:w="7910" w:type="dxa"/>
          </w:tcPr>
          <w:p w14:paraId="7BEB2662" w14:textId="234AF564" w:rsidR="00274334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Design assignments with workload and time requirements in mind.</w:t>
            </w:r>
          </w:p>
          <w:p w14:paraId="60AB2E0D" w14:textId="41F98FDA" w:rsidR="7EB42175" w:rsidRDefault="7EB42175" w:rsidP="7EB42175">
            <w:pPr>
              <w:rPr>
                <w:color w:val="000000" w:themeColor="text1"/>
              </w:rPr>
            </w:pPr>
          </w:p>
          <w:p w14:paraId="2513EC31" w14:textId="23D348FD" w:rsidR="00974E09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Integrate real-world scenarios in your multiple-choice or essay questions to make content relevant.</w:t>
            </w:r>
          </w:p>
          <w:p w14:paraId="2EE9C887" w14:textId="66111AD7" w:rsidR="7EB42175" w:rsidRDefault="7EB42175" w:rsidP="7EB42175">
            <w:pPr>
              <w:rPr>
                <w:color w:val="000000" w:themeColor="text1"/>
              </w:rPr>
            </w:pPr>
          </w:p>
          <w:p w14:paraId="537BC354" w14:textId="30679F55" w:rsidR="00974E09" w:rsidRPr="007622B6" w:rsidRDefault="007B35E9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Make sure there is </w:t>
            </w:r>
            <w:r w:rsidR="7EB42175" w:rsidRPr="7EB42175">
              <w:rPr>
                <w:color w:val="000000" w:themeColor="text1"/>
              </w:rPr>
              <w:t>consistency across all types of assessments regarding the format, deadlines, and evaluation criteria.</w:t>
            </w:r>
          </w:p>
          <w:p w14:paraId="305599B2" w14:textId="072FE427" w:rsidR="7EB42175" w:rsidRDefault="7EB42175" w:rsidP="7EB42175">
            <w:pPr>
              <w:rPr>
                <w:color w:val="000000" w:themeColor="text1"/>
              </w:rPr>
            </w:pPr>
          </w:p>
          <w:p w14:paraId="028D7CE0" w14:textId="672672F5" w:rsidR="00974E09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Break students into small groups (each with a leader or facilitator) to improve peer-to-peer interaction in online discussions.</w:t>
            </w:r>
          </w:p>
          <w:p w14:paraId="0A82E68D" w14:textId="3788156B" w:rsidR="7EB42175" w:rsidRDefault="7EB42175" w:rsidP="7EB42175">
            <w:pPr>
              <w:rPr>
                <w:color w:val="000000" w:themeColor="text1"/>
              </w:rPr>
            </w:pPr>
          </w:p>
          <w:p w14:paraId="39A35868" w14:textId="331462DF" w:rsidR="007622B6" w:rsidRPr="007622B6" w:rsidRDefault="7EB42175" w:rsidP="00637FB6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 w:themeColor="text1"/>
              </w:rPr>
            </w:pPr>
            <w:r w:rsidRPr="7EB42175">
              <w:rPr>
                <w:rFonts w:cs="Arial"/>
                <w:color w:val="000000" w:themeColor="text1"/>
              </w:rPr>
              <w:t>Use peer evaluation to provide feedback early and often. For example:</w:t>
            </w:r>
          </w:p>
          <w:p w14:paraId="3AF4A16E" w14:textId="366628EA" w:rsidR="007622B6" w:rsidRPr="007622B6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rFonts w:cs="Arial"/>
                <w:color w:val="000000" w:themeColor="text1"/>
              </w:rPr>
            </w:pPr>
            <w:r w:rsidRPr="7EB42175">
              <w:rPr>
                <w:rFonts w:cs="Arial"/>
                <w:color w:val="000000" w:themeColor="text1"/>
              </w:rPr>
              <w:t>Require students to provide peer feedback on lower stakes individual and group assessments or components of a project as they work towards a larger project.</w:t>
            </w:r>
          </w:p>
          <w:p w14:paraId="1BBF9D75" w14:textId="3506AFDF" w:rsidR="7EB42175" w:rsidRDefault="7EB42175" w:rsidP="7EB42175">
            <w:pPr>
              <w:ind w:left="720"/>
              <w:rPr>
                <w:rFonts w:cs="Arial"/>
                <w:color w:val="000000" w:themeColor="text1"/>
              </w:rPr>
            </w:pPr>
          </w:p>
          <w:p w14:paraId="02D15DF1" w14:textId="3AC5131A" w:rsidR="00974E09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 xml:space="preserve">Create auto-graded quizzes. </w:t>
            </w:r>
          </w:p>
          <w:p w14:paraId="311F71E7" w14:textId="251E2159" w:rsidR="00974E09" w:rsidRPr="007622B6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For example:</w:t>
            </w:r>
          </w:p>
          <w:p w14:paraId="4EA5C95E" w14:textId="77777777" w:rsidR="00B8530A" w:rsidRPr="007622B6" w:rsidRDefault="7EB42175" w:rsidP="7EB42175">
            <w:pPr>
              <w:pStyle w:val="ListParagraph"/>
              <w:numPr>
                <w:ilvl w:val="2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Randomly draw questions from a large question bank.</w:t>
            </w:r>
          </w:p>
          <w:p w14:paraId="6BB49C12" w14:textId="77777777" w:rsidR="00B8530A" w:rsidRPr="007622B6" w:rsidRDefault="7EB42175" w:rsidP="7EB42175">
            <w:pPr>
              <w:pStyle w:val="ListParagraph"/>
              <w:numPr>
                <w:ilvl w:val="2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Build in feedback for all questions for right and wrong answers. </w:t>
            </w:r>
          </w:p>
          <w:p w14:paraId="10DA1604" w14:textId="6850D565" w:rsidR="00B8530A" w:rsidRPr="007622B6" w:rsidRDefault="7EB42175" w:rsidP="7EB42175">
            <w:pPr>
              <w:pStyle w:val="ListParagraph"/>
              <w:numPr>
                <w:ilvl w:val="2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Use proctored exams to reduce the likelihood of cheating.</w:t>
            </w:r>
          </w:p>
          <w:p w14:paraId="4D80CFD5" w14:textId="77777777" w:rsidR="00C31EDC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 xml:space="preserve">Take care to only use proctored exams for high stakes exams to maintain course costs. </w:t>
            </w:r>
          </w:p>
          <w:p w14:paraId="1BEA253A" w14:textId="61B1F478" w:rsidR="7EB42175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 xml:space="preserve">Employ test design strategies to help promote academic integrity, such as using large question banks and randomizing questions and answers. </w:t>
            </w:r>
          </w:p>
          <w:p w14:paraId="7A770935" w14:textId="2C6CA0E7" w:rsidR="7EB42175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lastRenderedPageBreak/>
              <w:t xml:space="preserve">Consider the cognitive level of the content you are assessing and </w:t>
            </w:r>
            <w:r w:rsidR="00097509">
              <w:rPr>
                <w:color w:val="000000" w:themeColor="text1"/>
              </w:rPr>
              <w:t>tailor the multiple-</w:t>
            </w:r>
            <w:r w:rsidRPr="7EB42175">
              <w:rPr>
                <w:color w:val="000000" w:themeColor="text1"/>
              </w:rPr>
              <w:t>choice questions to best fit the cognitive level. For example, if the content is more complex, try scenario-based questions. For more lower-leve</w:t>
            </w:r>
            <w:r w:rsidR="00097509">
              <w:rPr>
                <w:color w:val="000000" w:themeColor="text1"/>
              </w:rPr>
              <w:t>l knowledge, consider multiple-</w:t>
            </w:r>
            <w:r w:rsidR="00406D79">
              <w:rPr>
                <w:color w:val="000000" w:themeColor="text1"/>
              </w:rPr>
              <w:t>c</w:t>
            </w:r>
            <w:r w:rsidRPr="7EB42175">
              <w:rPr>
                <w:color w:val="000000" w:themeColor="text1"/>
              </w:rPr>
              <w:t xml:space="preserve">hoice questions that test basic </w:t>
            </w:r>
            <w:r w:rsidR="00141C5C" w:rsidRPr="7EB42175">
              <w:rPr>
                <w:color w:val="000000" w:themeColor="text1"/>
              </w:rPr>
              <w:t>understanding</w:t>
            </w:r>
            <w:r w:rsidRPr="7EB42175">
              <w:rPr>
                <w:color w:val="000000" w:themeColor="text1"/>
              </w:rPr>
              <w:t>.</w:t>
            </w:r>
          </w:p>
          <w:p w14:paraId="2A803FA5" w14:textId="68FE1471" w:rsidR="7EB42175" w:rsidRDefault="7EB42175" w:rsidP="7EB42175">
            <w:pPr>
              <w:ind w:left="720"/>
              <w:rPr>
                <w:color w:val="000000" w:themeColor="text1"/>
              </w:rPr>
            </w:pPr>
          </w:p>
          <w:p w14:paraId="11B8A488" w14:textId="21D3F759" w:rsidR="00974E09" w:rsidRPr="007622B6" w:rsidRDefault="7EB42175" w:rsidP="16DB3E3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Set up specific parameters for participation. For example:</w:t>
            </w:r>
          </w:p>
          <w:p w14:paraId="605A610C" w14:textId="0C6A2D9C" w:rsidR="00974E09" w:rsidRPr="007622B6" w:rsidRDefault="7EB42175" w:rsidP="00637FB6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Require original posts due on Thu/Fri and replies due on Sat/Sun.</w:t>
            </w:r>
          </w:p>
          <w:p w14:paraId="5C056B0B" w14:textId="77777777" w:rsidR="00BC3C49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Require minimum length or number of posts/replies per week.</w:t>
            </w:r>
          </w:p>
          <w:p w14:paraId="2D38FB94" w14:textId="70D9519C" w:rsidR="000C319F" w:rsidRPr="007622B6" w:rsidRDefault="000C319F" w:rsidP="7EB42175">
            <w:pPr>
              <w:rPr>
                <w:color w:val="000000" w:themeColor="text1"/>
              </w:rPr>
            </w:pPr>
          </w:p>
          <w:p w14:paraId="43174F12" w14:textId="11FDC63A" w:rsidR="000C319F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t xml:space="preserve">Incorporate visual assessments and group assignments. </w:t>
            </w:r>
          </w:p>
          <w:p w14:paraId="1E1FD022" w14:textId="00807759" w:rsidR="000C319F" w:rsidRPr="007622B6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t>These assignment types reduce time-to-grade against given outcomes but still preserve</w:t>
            </w:r>
            <w:r w:rsidR="00406D79">
              <w:t xml:space="preserve"> assessment</w:t>
            </w:r>
            <w:r w:rsidRPr="7EB42175">
              <w:t xml:space="preserve"> sophistication and learner engagement.</w:t>
            </w:r>
          </w:p>
          <w:p w14:paraId="1977A8BA" w14:textId="4A3931DB" w:rsidR="000C319F" w:rsidRPr="008B546B" w:rsidRDefault="7EB42175" w:rsidP="008B546B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t xml:space="preserve">Visual assessments allow faster evaluation of learner thinking about relationships/classifications. </w:t>
            </w:r>
          </w:p>
        </w:tc>
        <w:tc>
          <w:tcPr>
            <w:tcW w:w="2190" w:type="dxa"/>
          </w:tcPr>
          <w:p w14:paraId="6BB84442" w14:textId="3B9656F9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lastRenderedPageBreak/>
              <w:t>BP</w:t>
            </w:r>
          </w:p>
          <w:p w14:paraId="2A1299A9" w14:textId="35AAE546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041C691B" w14:textId="17E99655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>BP</w:t>
            </w:r>
          </w:p>
          <w:p w14:paraId="77DCE4D0" w14:textId="0D47E633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2A70BEE7" w14:textId="4A18E146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1A5AF4CF" w14:textId="70F74B04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>BP</w:t>
            </w:r>
          </w:p>
          <w:p w14:paraId="337B5E87" w14:textId="2B043694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5162244" w14:textId="10CED814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6917DB76" w14:textId="0371FAD4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6AD1FC92" w14:textId="26155D60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555A6790" w14:textId="01EC68EF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0A88E3EE" w14:textId="5085DC84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03F5C931" w14:textId="0C175483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6D83BF6B" w14:textId="2EE4FE9D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2E4B7024" w14:textId="0E8B640F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03AFB201" w14:textId="19B56DB1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8F18D43" w14:textId="103DCC2D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160A9B30" w14:textId="187C78E0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642CD547" w14:textId="23646627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1B8512C5" w14:textId="45C2A327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2F03FF0F" w14:textId="1E6655B8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21922B6C" w14:textId="3E6559EA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7DCE2DE5" w14:textId="74C1A0AC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73D0D5DB" w14:textId="053E893D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3978C98" w14:textId="30AF64B6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21823268" w14:textId="4ECC35E6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7FF07D2E" w14:textId="387B3DA9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008C0F45" w14:textId="1E4018BC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0F48C8A2" w14:textId="4685CBDE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19C8042" w14:textId="2E5A20AF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937C302" w14:textId="4F3F1E79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8A6F22D" w14:textId="6E42C341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>BP</w:t>
            </w:r>
          </w:p>
          <w:p w14:paraId="50F400A8" w14:textId="32968FB9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24DBAE2F" w14:textId="68167100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672C7391" w14:textId="0D7AB04E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22F4C102" w14:textId="60DB5D16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0D46F6CE" w14:textId="4274D440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29F0E4CF" w14:textId="4F9FE472" w:rsidR="7EB42175" w:rsidRPr="008B546B" w:rsidRDefault="7EB42175" w:rsidP="008B546B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5B35C4EB" w14:textId="66A8CDC3" w:rsidR="7EB42175" w:rsidRDefault="7EB42175" w:rsidP="7EB42175">
            <w:pPr>
              <w:pStyle w:val="ListParagraph"/>
              <w:ind w:left="0"/>
              <w:rPr>
                <w:rFonts w:cs="Arial"/>
                <w:color w:val="00B050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FC62583" w14:textId="68F775E3" w:rsidR="00974E09" w:rsidRPr="007622B6" w:rsidRDefault="00253584" w:rsidP="00974E09">
            <w:pPr>
              <w:rPr>
                <w:color w:val="000000" w:themeColor="text1"/>
              </w:rPr>
            </w:pPr>
            <w:hyperlink r:id="rId7" w:history="1">
              <w:r w:rsidR="00974E09" w:rsidRPr="007622B6">
                <w:rPr>
                  <w:rStyle w:val="Hyperlink"/>
                  <w:color w:val="000000" w:themeColor="text1"/>
                </w:rPr>
                <w:t xml:space="preserve">Best Practices for Large-Enrollment Online Courses </w:t>
              </w:r>
              <w:r w:rsidR="004F768D" w:rsidRPr="007622B6">
                <w:rPr>
                  <w:rStyle w:val="Hyperlink"/>
                  <w:color w:val="000000" w:themeColor="text1"/>
                </w:rPr>
                <w:t>Part I</w:t>
              </w:r>
            </w:hyperlink>
            <w:r w:rsidR="004F768D" w:rsidRPr="007622B6">
              <w:rPr>
                <w:color w:val="000000" w:themeColor="text1"/>
              </w:rPr>
              <w:t xml:space="preserve"> </w:t>
            </w:r>
            <w:r w:rsidR="00974E09" w:rsidRPr="007622B6">
              <w:rPr>
                <w:color w:val="000000" w:themeColor="text1"/>
              </w:rPr>
              <w:t>(Arizona State University)</w:t>
            </w:r>
          </w:p>
          <w:p w14:paraId="4AA85B78" w14:textId="37C9D4D9" w:rsidR="00974E09" w:rsidRPr="007622B6" w:rsidRDefault="00974E09" w:rsidP="00974E09">
            <w:pPr>
              <w:rPr>
                <w:color w:val="000000" w:themeColor="text1"/>
              </w:rPr>
            </w:pPr>
          </w:p>
          <w:p w14:paraId="7029B07C" w14:textId="34ED01D0" w:rsidR="00974E09" w:rsidRPr="007622B6" w:rsidRDefault="00253584" w:rsidP="00974E09">
            <w:pPr>
              <w:rPr>
                <w:color w:val="000000" w:themeColor="text1"/>
              </w:rPr>
            </w:pPr>
            <w:hyperlink r:id="rId8" w:history="1">
              <w:r w:rsidR="00974E09" w:rsidRPr="007622B6">
                <w:rPr>
                  <w:rStyle w:val="Hyperlink"/>
                  <w:color w:val="000000" w:themeColor="text1"/>
                </w:rPr>
                <w:t>Tips for Designing and Moderating Large-Enrollment Online Courses</w:t>
              </w:r>
            </w:hyperlink>
            <w:r w:rsidR="00974E09" w:rsidRPr="007622B6">
              <w:rPr>
                <w:color w:val="000000" w:themeColor="text1"/>
              </w:rPr>
              <w:t xml:space="preserve"> (Wiley Education Services)</w:t>
            </w:r>
          </w:p>
          <w:p w14:paraId="11647C5E" w14:textId="77777777" w:rsidR="00974E09" w:rsidRPr="007622B6" w:rsidRDefault="00974E09" w:rsidP="00637FB6">
            <w:pPr>
              <w:rPr>
                <w:color w:val="000000" w:themeColor="text1"/>
              </w:rPr>
            </w:pPr>
          </w:p>
          <w:p w14:paraId="1E90AC48" w14:textId="77777777" w:rsidR="00974E09" w:rsidRPr="007622B6" w:rsidRDefault="00974E09" w:rsidP="002A7237">
            <w:pPr>
              <w:rPr>
                <w:color w:val="000000" w:themeColor="text1"/>
              </w:rPr>
            </w:pPr>
          </w:p>
        </w:tc>
      </w:tr>
      <w:tr w:rsidR="00274334" w:rsidRPr="007622B6" w14:paraId="57CC8FF1" w14:textId="77777777" w:rsidTr="008B546B">
        <w:trPr>
          <w:trHeight w:val="701"/>
        </w:trPr>
        <w:tc>
          <w:tcPr>
            <w:tcW w:w="1795" w:type="dxa"/>
          </w:tcPr>
          <w:p w14:paraId="3995B179" w14:textId="0CFA9144" w:rsidR="00974E09" w:rsidRPr="007622B6" w:rsidRDefault="00E45A26" w:rsidP="002A7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Grading M</w:t>
            </w:r>
            <w:r w:rsidR="00974E09" w:rsidRPr="007622B6">
              <w:rPr>
                <w:color w:val="000000" w:themeColor="text1"/>
              </w:rPr>
              <w:t>anagement</w:t>
            </w:r>
          </w:p>
        </w:tc>
        <w:tc>
          <w:tcPr>
            <w:tcW w:w="7910" w:type="dxa"/>
          </w:tcPr>
          <w:p w14:paraId="78A64463" w14:textId="06B0BF0B" w:rsidR="00274334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Provide specific evaluation criteria for each type of assessment (e.g.</w:t>
            </w:r>
            <w:r w:rsidR="008B546B">
              <w:rPr>
                <w:color w:val="000000" w:themeColor="text1"/>
              </w:rPr>
              <w:t>,</w:t>
            </w:r>
            <w:r w:rsidRPr="7EB42175">
              <w:rPr>
                <w:color w:val="000000" w:themeColor="text1"/>
              </w:rPr>
              <w:t xml:space="preserve"> rubric, checklist, guidance).</w:t>
            </w:r>
          </w:p>
          <w:p w14:paraId="452CDA48" w14:textId="77777777" w:rsidR="008B546B" w:rsidRDefault="008B546B" w:rsidP="008B546B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2CC44E47" w14:textId="0D94C680" w:rsidR="008B546B" w:rsidRPr="008B546B" w:rsidRDefault="008B546B" w:rsidP="008B546B">
            <w:pPr>
              <w:pStyle w:val="ListParagraph"/>
              <w:numPr>
                <w:ilvl w:val="0"/>
                <w:numId w:val="18"/>
              </w:numPr>
            </w:pPr>
            <w:r w:rsidRPr="7EB42175">
              <w:t>Utilize the built-in rubric feature of the LMS and work as a program or department to create standard rubrics fo</w:t>
            </w:r>
            <w:r>
              <w:t xml:space="preserve">r use that can be tweaked for </w:t>
            </w:r>
            <w:r w:rsidRPr="7EB42175">
              <w:t xml:space="preserve">specific assessments. Some LMSs enable sharing of rubrics across courses. </w:t>
            </w:r>
          </w:p>
          <w:p w14:paraId="42E21E2A" w14:textId="32EEA3B3" w:rsidR="7EB42175" w:rsidRDefault="7EB42175" w:rsidP="7EB42175">
            <w:pPr>
              <w:rPr>
                <w:color w:val="000000" w:themeColor="text1"/>
              </w:rPr>
            </w:pPr>
          </w:p>
          <w:p w14:paraId="6BEC1298" w14:textId="5BB76C91" w:rsidR="00274334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Use different grading scales for different assignments (e.g.</w:t>
            </w:r>
            <w:r w:rsidR="00073B5B">
              <w:rPr>
                <w:color w:val="000000" w:themeColor="text1"/>
              </w:rPr>
              <w:t>,</w:t>
            </w:r>
            <w:r w:rsidRPr="7EB42175">
              <w:rPr>
                <w:color w:val="000000" w:themeColor="text1"/>
              </w:rPr>
              <w:t xml:space="preserve"> not every piece of student work may need your full attention and you could use simplified scale for preparatory work).</w:t>
            </w:r>
          </w:p>
          <w:p w14:paraId="2B1B01B8" w14:textId="1AA5932D" w:rsidR="7EB42175" w:rsidRDefault="7EB42175" w:rsidP="7EB42175">
            <w:pPr>
              <w:rPr>
                <w:color w:val="000000" w:themeColor="text1"/>
              </w:rPr>
            </w:pPr>
          </w:p>
          <w:p w14:paraId="1C3DF0E1" w14:textId="1F8FCCAE" w:rsidR="00974E09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Share exemplary student examples to supplement the evaluation criteria (e.g.</w:t>
            </w:r>
            <w:r w:rsidR="008B546B">
              <w:rPr>
                <w:color w:val="000000" w:themeColor="text1"/>
              </w:rPr>
              <w:t>,</w:t>
            </w:r>
            <w:r w:rsidRPr="7EB42175">
              <w:rPr>
                <w:color w:val="000000" w:themeColor="text1"/>
              </w:rPr>
              <w:t xml:space="preserve"> provide examples that represent excellent and unacceptable work).</w:t>
            </w:r>
          </w:p>
          <w:p w14:paraId="487949E9" w14:textId="5FE4D769" w:rsidR="7EB42175" w:rsidRDefault="7EB42175" w:rsidP="7EB42175">
            <w:pPr>
              <w:rPr>
                <w:color w:val="000000" w:themeColor="text1"/>
              </w:rPr>
            </w:pPr>
          </w:p>
          <w:p w14:paraId="4BF26467" w14:textId="0A05AB91" w:rsidR="00274334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Train your TAs on the use of your evaluation cr</w:t>
            </w:r>
            <w:r w:rsidR="008B546B">
              <w:rPr>
                <w:color w:val="000000" w:themeColor="text1"/>
              </w:rPr>
              <w:t>iteria and maintain grading</w:t>
            </w:r>
            <w:r w:rsidRPr="7EB42175">
              <w:rPr>
                <w:color w:val="000000" w:themeColor="text1"/>
              </w:rPr>
              <w:t xml:space="preserve"> consistency and reliability across all the graders. </w:t>
            </w:r>
          </w:p>
          <w:p w14:paraId="45196EEA" w14:textId="242CB21A" w:rsidR="7EB42175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 xml:space="preserve">Be sure to continue to leverage the rubric feature within the LMS and not re-create rubrics in Word. Keeping rubrics in one place will help with consistency. </w:t>
            </w:r>
          </w:p>
          <w:p w14:paraId="4B3F2E48" w14:textId="3061A2A0" w:rsidR="7EB42175" w:rsidRDefault="7EB42175" w:rsidP="7EB42175">
            <w:pPr>
              <w:rPr>
                <w:color w:val="000000" w:themeColor="text1"/>
              </w:rPr>
            </w:pPr>
          </w:p>
          <w:p w14:paraId="76E3C567" w14:textId="335346E6" w:rsidR="00974E09" w:rsidRPr="007622B6" w:rsidRDefault="7EB42175" w:rsidP="0027433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lastRenderedPageBreak/>
              <w:t>Simplify your grading process and leverage the power of student feedback. For example:</w:t>
            </w:r>
          </w:p>
          <w:p w14:paraId="3B9C877E" w14:textId="7AB7F5D6" w:rsidR="00974E09" w:rsidRPr="007622B6" w:rsidRDefault="7EB42175" w:rsidP="00637FB6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Require peer review before final submissions.</w:t>
            </w:r>
          </w:p>
          <w:p w14:paraId="39E2B417" w14:textId="77777777" w:rsidR="00095AF5" w:rsidRPr="007622B6" w:rsidRDefault="7EB42175" w:rsidP="00095AF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Encourage your TAs to moderate the discussion forums.</w:t>
            </w:r>
          </w:p>
          <w:p w14:paraId="3EC6365D" w14:textId="664A2CE7" w:rsidR="00095AF5" w:rsidRPr="007622B6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 xml:space="preserve">Encourage students to sign up as online discussion facilitators with </w:t>
            </w:r>
            <w:r w:rsidR="008B546B">
              <w:rPr>
                <w:color w:val="000000" w:themeColor="text1"/>
              </w:rPr>
              <w:t>extra credit</w:t>
            </w:r>
            <w:r w:rsidRPr="7EB42175">
              <w:rPr>
                <w:color w:val="000000" w:themeColor="text1"/>
              </w:rPr>
              <w:t>.</w:t>
            </w:r>
          </w:p>
        </w:tc>
        <w:tc>
          <w:tcPr>
            <w:tcW w:w="2190" w:type="dxa"/>
          </w:tcPr>
          <w:p w14:paraId="71B67CAD" w14:textId="64A390D4" w:rsidR="7EB42175" w:rsidRDefault="00AC415C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lastRenderedPageBreak/>
              <w:t>BP</w:t>
            </w:r>
            <w:bookmarkStart w:id="0" w:name="_GoBack"/>
            <w:bookmarkEnd w:id="0"/>
          </w:p>
          <w:p w14:paraId="2E1247C1" w14:textId="61A70C35" w:rsidR="7EB42175" w:rsidRDefault="7EB42175" w:rsidP="7EB42175">
            <w:pPr>
              <w:pStyle w:val="ListParagraph"/>
              <w:rPr>
                <w:color w:val="000000" w:themeColor="text1"/>
              </w:rPr>
            </w:pPr>
          </w:p>
          <w:p w14:paraId="64BED76B" w14:textId="77777777" w:rsidR="008B546B" w:rsidRDefault="008B546B" w:rsidP="7EB42175">
            <w:pPr>
              <w:pStyle w:val="ListParagraph"/>
              <w:rPr>
                <w:color w:val="000000" w:themeColor="text1"/>
              </w:rPr>
            </w:pPr>
          </w:p>
          <w:p w14:paraId="78A05F59" w14:textId="77777777" w:rsidR="008B546B" w:rsidRPr="008B546B" w:rsidRDefault="008B546B" w:rsidP="008B546B">
            <w:pPr>
              <w:rPr>
                <w:color w:val="000000" w:themeColor="text1"/>
              </w:rPr>
            </w:pPr>
          </w:p>
          <w:p w14:paraId="5D2315F5" w14:textId="77777777" w:rsidR="008B546B" w:rsidRDefault="008B546B" w:rsidP="008B546B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59184D73" w14:textId="77777777" w:rsidR="008B546B" w:rsidRPr="008B546B" w:rsidRDefault="008B546B" w:rsidP="008B546B">
            <w:pPr>
              <w:rPr>
                <w:color w:val="000000" w:themeColor="text1"/>
              </w:rPr>
            </w:pPr>
          </w:p>
          <w:p w14:paraId="146020D4" w14:textId="77777777" w:rsidR="008B546B" w:rsidRDefault="008B546B" w:rsidP="7EB42175">
            <w:pPr>
              <w:pStyle w:val="ListParagraph"/>
              <w:rPr>
                <w:color w:val="000000" w:themeColor="text1"/>
              </w:rPr>
            </w:pPr>
          </w:p>
          <w:p w14:paraId="763F139A" w14:textId="3ACF68A9" w:rsidR="7EB42175" w:rsidRDefault="7EB42175" w:rsidP="7EB42175">
            <w:pPr>
              <w:pStyle w:val="ListParagraph"/>
              <w:rPr>
                <w:color w:val="000000" w:themeColor="text1"/>
              </w:rPr>
            </w:pPr>
          </w:p>
          <w:p w14:paraId="4A715B5B" w14:textId="5085DC84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4F389A81" w14:textId="683DAF1C" w:rsidR="7EB42175" w:rsidRDefault="7EB42175" w:rsidP="7EB42175">
            <w:pPr>
              <w:pStyle w:val="ListParagraph"/>
              <w:rPr>
                <w:color w:val="000000" w:themeColor="text1"/>
              </w:rPr>
            </w:pPr>
          </w:p>
          <w:p w14:paraId="5F919A18" w14:textId="3C62D72D" w:rsidR="7EB42175" w:rsidRDefault="7EB42175" w:rsidP="7EB42175">
            <w:pPr>
              <w:pStyle w:val="ListParagraph"/>
              <w:rPr>
                <w:color w:val="000000" w:themeColor="text1"/>
              </w:rPr>
            </w:pPr>
          </w:p>
          <w:p w14:paraId="71EAB8DC" w14:textId="364F843E" w:rsidR="7EB42175" w:rsidRDefault="7EB42175" w:rsidP="7EB42175">
            <w:pPr>
              <w:pStyle w:val="ListParagraph"/>
              <w:rPr>
                <w:color w:val="000000" w:themeColor="text1"/>
              </w:rPr>
            </w:pPr>
          </w:p>
          <w:p w14:paraId="72DD854A" w14:textId="4EF1B60A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>BP</w:t>
            </w:r>
          </w:p>
          <w:p w14:paraId="0AE404AE" w14:textId="44E6F430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2019D234" w14:textId="5B19DDA4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7238AA4B" w14:textId="77777777" w:rsidR="008B546B" w:rsidRDefault="008B546B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6CE14D07" w14:textId="01DDF394" w:rsidR="7EB42175" w:rsidRPr="00FB7340" w:rsidRDefault="7EB42175" w:rsidP="00FB7340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>BP</w:t>
            </w:r>
            <w:r w:rsidR="00FB7340">
              <w:rPr>
                <w:rFonts w:cs="Arial"/>
                <w:color w:val="00B050"/>
                <w:sz w:val="24"/>
                <w:szCs w:val="24"/>
              </w:rPr>
              <w:t xml:space="preserve">, </w:t>
            </w:r>
            <w:r w:rsidR="00FB7340"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35B0A416" w14:textId="7AA3B9AC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16939792" w14:textId="77777777" w:rsidR="008B546B" w:rsidRDefault="008B546B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372A70DD" w14:textId="77777777" w:rsidR="008B546B" w:rsidRDefault="008B546B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27A08DA9" w14:textId="53255B19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6EE4A49A" w14:textId="5085DC84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32BB73C1" w14:textId="7A4A4007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CED6240" w14:textId="4AE50B23" w:rsidR="00274334" w:rsidRPr="007622B6" w:rsidRDefault="00253584" w:rsidP="00274334">
            <w:pPr>
              <w:rPr>
                <w:color w:val="000000" w:themeColor="text1"/>
              </w:rPr>
            </w:pPr>
            <w:hyperlink r:id="rId9" w:history="1">
              <w:r w:rsidR="00274334" w:rsidRPr="007622B6">
                <w:rPr>
                  <w:rStyle w:val="Hyperlink"/>
                  <w:color w:val="000000" w:themeColor="text1"/>
                </w:rPr>
                <w:t>Grading Student Work</w:t>
              </w:r>
            </w:hyperlink>
            <w:r w:rsidR="00274334" w:rsidRPr="007622B6">
              <w:rPr>
                <w:color w:val="000000" w:themeColor="text1"/>
              </w:rPr>
              <w:t xml:space="preserve"> (Vanderbilt University)</w:t>
            </w:r>
          </w:p>
          <w:p w14:paraId="5832237A" w14:textId="77777777" w:rsidR="00974E09" w:rsidRPr="007622B6" w:rsidRDefault="00974E09" w:rsidP="002A7237">
            <w:pPr>
              <w:rPr>
                <w:color w:val="000000" w:themeColor="text1"/>
              </w:rPr>
            </w:pPr>
          </w:p>
          <w:p w14:paraId="4018FFF5" w14:textId="5C3C2055" w:rsidR="00274334" w:rsidRPr="007622B6" w:rsidRDefault="00253584" w:rsidP="00274334">
            <w:pPr>
              <w:rPr>
                <w:color w:val="000000" w:themeColor="text1"/>
              </w:rPr>
            </w:pPr>
            <w:hyperlink r:id="rId10" w:history="1">
              <w:r w:rsidR="00274334" w:rsidRPr="007622B6">
                <w:rPr>
                  <w:rStyle w:val="Hyperlink"/>
                  <w:color w:val="000000" w:themeColor="text1"/>
                </w:rPr>
                <w:t>How to Provide Meaningful Feedback Online</w:t>
              </w:r>
            </w:hyperlink>
            <w:r w:rsidR="00274334" w:rsidRPr="007622B6">
              <w:rPr>
                <w:color w:val="000000" w:themeColor="text1"/>
              </w:rPr>
              <w:t xml:space="preserve"> (Inside Higher Ed)</w:t>
            </w:r>
          </w:p>
          <w:p w14:paraId="55206B98" w14:textId="6C4CC518" w:rsidR="00274334" w:rsidRPr="007622B6" w:rsidRDefault="00274334" w:rsidP="002A7237">
            <w:pPr>
              <w:rPr>
                <w:color w:val="000000" w:themeColor="text1"/>
              </w:rPr>
            </w:pPr>
          </w:p>
        </w:tc>
      </w:tr>
      <w:tr w:rsidR="00274334" w:rsidRPr="007622B6" w14:paraId="219AEF0F" w14:textId="77777777" w:rsidTr="008B546B">
        <w:trPr>
          <w:trHeight w:val="431"/>
        </w:trPr>
        <w:tc>
          <w:tcPr>
            <w:tcW w:w="1795" w:type="dxa"/>
          </w:tcPr>
          <w:p w14:paraId="6870DC78" w14:textId="545992D7" w:rsidR="00974E09" w:rsidRPr="007622B6" w:rsidRDefault="00E45A26" w:rsidP="002A7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Communication M</w:t>
            </w:r>
            <w:r w:rsidR="00974E09" w:rsidRPr="007622B6">
              <w:rPr>
                <w:color w:val="000000" w:themeColor="text1"/>
              </w:rPr>
              <w:t>anagement</w:t>
            </w:r>
          </w:p>
        </w:tc>
        <w:tc>
          <w:tcPr>
            <w:tcW w:w="7910" w:type="dxa"/>
          </w:tcPr>
          <w:p w14:paraId="6EE09C04" w14:textId="77777777" w:rsidR="00974E09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Post announcements in the LMS on a regular basis to remind students of important deadlines and clarify some common questions.</w:t>
            </w:r>
          </w:p>
          <w:p w14:paraId="34DD5AC3" w14:textId="03C0DFB8" w:rsidR="7EB42175" w:rsidRDefault="7EB42175" w:rsidP="7EB42175">
            <w:pPr>
              <w:rPr>
                <w:color w:val="000000" w:themeColor="text1"/>
              </w:rPr>
            </w:pPr>
          </w:p>
          <w:p w14:paraId="2F7918E0" w14:textId="11FEA551" w:rsidR="00974E09" w:rsidRDefault="7EB42175" w:rsidP="16DB3E39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Create due date reminders a few days before assignments are due that give students an extra push by using the LMS calendar.</w:t>
            </w:r>
          </w:p>
          <w:p w14:paraId="1E706417" w14:textId="7B67AA6E" w:rsidR="7EB42175" w:rsidRDefault="7EB42175" w:rsidP="7EB42175">
            <w:pPr>
              <w:rPr>
                <w:color w:val="000000" w:themeColor="text1"/>
              </w:rPr>
            </w:pPr>
          </w:p>
          <w:p w14:paraId="4F6EF138" w14:textId="77777777" w:rsidR="00117B64" w:rsidRPr="00117B64" w:rsidRDefault="7EB42175" w:rsidP="00117B6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 w:themeColor="text1"/>
              </w:rPr>
            </w:pPr>
            <w:r w:rsidRPr="7EB42175">
              <w:rPr>
                <w:rFonts w:cs="Arial"/>
                <w:color w:val="000000" w:themeColor="text1"/>
              </w:rPr>
              <w:t>Post hidden “coaches notes” at the beginning of each module. For example:</w:t>
            </w:r>
          </w:p>
          <w:p w14:paraId="32D5CEE5" w14:textId="4A694DF8" w:rsidR="00117B64" w:rsidRPr="00117B64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rFonts w:cs="Arial"/>
                <w:color w:val="000000" w:themeColor="text1"/>
              </w:rPr>
            </w:pPr>
            <w:r w:rsidRPr="7EB42175">
              <w:rPr>
                <w:rFonts w:cs="Arial"/>
                <w:color w:val="000000" w:themeColor="text1"/>
              </w:rPr>
              <w:t>Create a hidden page or downloadable document to walk through the module, provides exemplars, and points out places students typically struggle.</w:t>
            </w:r>
          </w:p>
          <w:p w14:paraId="2433F4D8" w14:textId="2F48C846" w:rsidR="7EB42175" w:rsidRDefault="7EB42175" w:rsidP="7EB42175">
            <w:pPr>
              <w:ind w:left="720"/>
              <w:rPr>
                <w:rFonts w:cs="Arial"/>
                <w:color w:val="000000" w:themeColor="text1"/>
              </w:rPr>
            </w:pPr>
          </w:p>
          <w:p w14:paraId="05A1687B" w14:textId="1520990C" w:rsidR="00974E09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Clarify in your course policies about how to communicate with the instructor/TAs. For example:</w:t>
            </w:r>
          </w:p>
          <w:p w14:paraId="2E272431" w14:textId="3AE4AD20" w:rsidR="00974E09" w:rsidRPr="007622B6" w:rsidRDefault="7EB42175" w:rsidP="00637FB6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Specify the best ways to reach out.</w:t>
            </w:r>
          </w:p>
          <w:p w14:paraId="1342F6B2" w14:textId="09EF8322" w:rsidR="00974E09" w:rsidRPr="007622B6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Describe how to write an email with proper titles and when to send a follow-up message.</w:t>
            </w:r>
          </w:p>
          <w:p w14:paraId="13635B3B" w14:textId="1A86A4CE" w:rsidR="7EB42175" w:rsidRDefault="7EB42175" w:rsidP="7EB42175">
            <w:pPr>
              <w:ind w:left="720"/>
              <w:rPr>
                <w:color w:val="000000" w:themeColor="text1"/>
              </w:rPr>
            </w:pPr>
          </w:p>
          <w:p w14:paraId="696A44AE" w14:textId="66F48F19" w:rsidR="00974E09" w:rsidRPr="007622B6" w:rsidRDefault="7EB42175" w:rsidP="00637FB6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Commit to using discussion boards on a regular, consistent basis. For example:</w:t>
            </w:r>
          </w:p>
          <w:p w14:paraId="01CEC21C" w14:textId="48299F4B" w:rsidR="000C319F" w:rsidRPr="000C319F" w:rsidRDefault="7EB42175" w:rsidP="000C319F">
            <w:pPr>
              <w:pStyle w:val="ListParagraph"/>
              <w:numPr>
                <w:ilvl w:val="1"/>
                <w:numId w:val="18"/>
              </w:numPr>
              <w:rPr>
                <w:rFonts w:cs="Arial"/>
                <w:color w:val="000000" w:themeColor="text1"/>
              </w:rPr>
            </w:pPr>
            <w:r w:rsidRPr="7EB42175">
              <w:rPr>
                <w:rFonts w:cs="Arial"/>
                <w:color w:val="000000" w:themeColor="text1"/>
              </w:rPr>
              <w:t>Actively respond to student questions and encourage students to use the forum for Q&amp;A.</w:t>
            </w:r>
          </w:p>
          <w:p w14:paraId="36F0A4B0" w14:textId="64D2EA91" w:rsidR="00117B64" w:rsidRPr="000C319F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rFonts w:cs="Arial"/>
                <w:color w:val="000000" w:themeColor="text1"/>
              </w:rPr>
              <w:t>Set up optional discussion boards after lectures or readings to allow students to pose questions about the content to each other.</w:t>
            </w:r>
            <w:r w:rsidRPr="7EB42175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2044EC70" w14:textId="5D90BAED" w:rsidR="00117B64" w:rsidRPr="000C319F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 xml:space="preserve">While the course runs, keep a log of student questions that can be turned into a FAQ document for future iterations of the course. </w:t>
            </w:r>
          </w:p>
          <w:p w14:paraId="24D0CFE4" w14:textId="395F60BE" w:rsidR="00117B64" w:rsidRPr="000C319F" w:rsidRDefault="00117B64" w:rsidP="7EB42175">
            <w:pPr>
              <w:ind w:left="720"/>
              <w:rPr>
                <w:color w:val="000000" w:themeColor="text1"/>
              </w:rPr>
            </w:pPr>
          </w:p>
          <w:p w14:paraId="02110599" w14:textId="036AF92B" w:rsidR="00117B64" w:rsidRPr="000C319F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Provide detailed guidance on how and when to reach out to th</w:t>
            </w:r>
            <w:r w:rsidR="008B546B">
              <w:rPr>
                <w:color w:val="000000" w:themeColor="text1"/>
              </w:rPr>
              <w:t xml:space="preserve">e instructor and/or TAs </w:t>
            </w:r>
            <w:r w:rsidRPr="7EB42175">
              <w:rPr>
                <w:color w:val="000000" w:themeColor="text1"/>
              </w:rPr>
              <w:t xml:space="preserve">with questions to avoid getting inundated with the same questions via email. </w:t>
            </w:r>
          </w:p>
          <w:p w14:paraId="0F080A28" w14:textId="286E58B0" w:rsidR="00117B64" w:rsidRPr="000C319F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lastRenderedPageBreak/>
              <w:t>Encourage students to consult the Q&amp;A board before em</w:t>
            </w:r>
            <w:r w:rsidR="008B546B">
              <w:rPr>
                <w:color w:val="000000" w:themeColor="text1"/>
              </w:rPr>
              <w:t>ailing instructor or TAs</w:t>
            </w:r>
            <w:r w:rsidRPr="7EB42175">
              <w:rPr>
                <w:color w:val="000000" w:themeColor="text1"/>
              </w:rPr>
              <w:t xml:space="preserve"> with questions. </w:t>
            </w:r>
          </w:p>
          <w:p w14:paraId="4CC6DEE1" w14:textId="7DB1BFBA" w:rsidR="00117B64" w:rsidRPr="00141C5C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 xml:space="preserve">Consider including a syllabus quiz at the beginning of the course to ensure students are reading the syllabus. </w:t>
            </w:r>
          </w:p>
        </w:tc>
        <w:tc>
          <w:tcPr>
            <w:tcW w:w="2190" w:type="dxa"/>
          </w:tcPr>
          <w:p w14:paraId="523187E2" w14:textId="493F2AE9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lastRenderedPageBreak/>
              <w:t>BP</w:t>
            </w:r>
          </w:p>
          <w:p w14:paraId="43A05CA9" w14:textId="0BAB4B66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2B5D6BCF" w14:textId="200E1806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4C55A430" w14:textId="6574AD0D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>BP</w:t>
            </w:r>
          </w:p>
          <w:p w14:paraId="34F4273F" w14:textId="3284DE03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3C5FE90C" w14:textId="2D74DF14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6170DA2E" w14:textId="5F1B38E6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2473DA3A" w14:textId="2BB86FA2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1A87186B" w14:textId="38F7D29E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3BCB3AEB" w14:textId="388BA69A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47A0525B" w14:textId="02BB551F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4ECDBDFB" w14:textId="5093EF9E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5EB64BA0" w14:textId="7AF7D40D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DF504C0" w14:textId="4D8354D2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1A337CFB" w14:textId="36DC778B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421F2450" w14:textId="191EAAD7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3D931516" w14:textId="1C951744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2CB63975" w14:textId="5CD5557C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3C302299" w14:textId="2BFAD5EC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0326985C" w14:textId="6665F125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69B2C6B8" w14:textId="7CFB635B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1EF36065" w14:textId="28E925F5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738A002C" w14:textId="3D96EAF9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2E804BCA" w14:textId="417979EB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  <w:p w14:paraId="1ED5C0C5" w14:textId="10D05476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3BF21300" w14:textId="5093EF9E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6D926272" w14:textId="6946C834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2505" w:type="dxa"/>
          </w:tcPr>
          <w:p w14:paraId="03C08251" w14:textId="29FA2380" w:rsidR="004F768D" w:rsidRPr="007622B6" w:rsidRDefault="00253584" w:rsidP="004F768D">
            <w:pPr>
              <w:rPr>
                <w:color w:val="000000" w:themeColor="text1"/>
              </w:rPr>
            </w:pPr>
            <w:hyperlink r:id="rId11" w:anchor="managing_communication-285" w:history="1">
              <w:r w:rsidR="004F768D" w:rsidRPr="007622B6">
                <w:rPr>
                  <w:rStyle w:val="Hyperlink"/>
                  <w:color w:val="000000" w:themeColor="text1"/>
                </w:rPr>
                <w:t>Survivor Strategies: Teaching Large Enrollment Classes</w:t>
              </w:r>
            </w:hyperlink>
            <w:r w:rsidR="004F768D" w:rsidRPr="007622B6">
              <w:rPr>
                <w:color w:val="000000" w:themeColor="text1"/>
              </w:rPr>
              <w:t xml:space="preserve"> (University of Colorado Boulder)</w:t>
            </w:r>
          </w:p>
          <w:p w14:paraId="04613E2D" w14:textId="77777777" w:rsidR="00974E09" w:rsidRPr="007622B6" w:rsidRDefault="00974E09" w:rsidP="00A851E9">
            <w:pPr>
              <w:rPr>
                <w:color w:val="000000" w:themeColor="text1"/>
              </w:rPr>
            </w:pPr>
          </w:p>
        </w:tc>
      </w:tr>
      <w:tr w:rsidR="00095AF5" w:rsidRPr="007622B6" w14:paraId="4FF857E0" w14:textId="77777777" w:rsidTr="008B546B">
        <w:trPr>
          <w:trHeight w:val="1172"/>
        </w:trPr>
        <w:tc>
          <w:tcPr>
            <w:tcW w:w="1795" w:type="dxa"/>
          </w:tcPr>
          <w:p w14:paraId="547696B6" w14:textId="519BE460" w:rsidR="00974E09" w:rsidRPr="007622B6" w:rsidRDefault="00E45A26" w:rsidP="002A7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Community Building</w:t>
            </w:r>
          </w:p>
        </w:tc>
        <w:tc>
          <w:tcPr>
            <w:tcW w:w="7910" w:type="dxa"/>
          </w:tcPr>
          <w:p w14:paraId="4726A683" w14:textId="60BE00DC" w:rsidR="00974E09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Set aside specific hours to be available to students online (email, chat, or phone).</w:t>
            </w:r>
          </w:p>
          <w:p w14:paraId="55E1A788" w14:textId="008F81ED" w:rsidR="7EB42175" w:rsidRDefault="7EB42175" w:rsidP="7EB42175">
            <w:pPr>
              <w:rPr>
                <w:color w:val="000000" w:themeColor="text1"/>
              </w:rPr>
            </w:pPr>
          </w:p>
          <w:p w14:paraId="7433DE6C" w14:textId="185342C2" w:rsidR="00974E09" w:rsidRPr="007622B6" w:rsidRDefault="7EB42175" w:rsidP="7EB4217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Set up regular office hours by using video conference tools (e.g. Zoom, Skype, or Google Hangout).</w:t>
            </w:r>
          </w:p>
          <w:p w14:paraId="5A35D9A8" w14:textId="1550B3F1" w:rsidR="7EB42175" w:rsidRDefault="7EB42175" w:rsidP="7EB42175">
            <w:pPr>
              <w:rPr>
                <w:color w:val="000000" w:themeColor="text1"/>
              </w:rPr>
            </w:pPr>
          </w:p>
          <w:p w14:paraId="59797509" w14:textId="7FEDB9E5" w:rsidR="00974E09" w:rsidRPr="007622B6" w:rsidRDefault="7EB42175" w:rsidP="00637FB6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Utilize a variety of online discussion tools to encourage peer interaction. For example:</w:t>
            </w:r>
          </w:p>
          <w:p w14:paraId="6CDA4F30" w14:textId="13695351" w:rsidR="00974E09" w:rsidRPr="007622B6" w:rsidRDefault="7EB42175" w:rsidP="00637FB6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Use a video discussion tool (Flipgrid) for self-introduction activity.</w:t>
            </w:r>
          </w:p>
          <w:p w14:paraId="4D34C20D" w14:textId="54F87A9B" w:rsidR="00974E09" w:rsidRPr="007622B6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Use advanced features of a discussion tool (VoiceThread) for annotation, video, or audio response.</w:t>
            </w:r>
          </w:p>
          <w:p w14:paraId="3CEE290E" w14:textId="59AB101E" w:rsidR="7EB42175" w:rsidRDefault="7EB42175" w:rsidP="7EB42175">
            <w:pPr>
              <w:ind w:left="720"/>
              <w:rPr>
                <w:color w:val="000000" w:themeColor="text1"/>
              </w:rPr>
            </w:pPr>
          </w:p>
          <w:p w14:paraId="1A2EF8A3" w14:textId="7DB5899B" w:rsidR="00974E09" w:rsidRPr="007622B6" w:rsidRDefault="7EB42175" w:rsidP="00EA0DD6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Build “outside class” spaces. For example:</w:t>
            </w:r>
          </w:p>
          <w:p w14:paraId="3664274F" w14:textId="77777777" w:rsidR="00974E09" w:rsidRPr="007622B6" w:rsidRDefault="7EB42175" w:rsidP="00EA0DD6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 xml:space="preserve">Make “café” discussion boards where the class can talk about current events and common interests. </w:t>
            </w:r>
          </w:p>
          <w:p w14:paraId="584E7558" w14:textId="77777777" w:rsidR="00974E09" w:rsidRPr="007622B6" w:rsidRDefault="7EB42175" w:rsidP="00EA0DD6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 xml:space="preserve">Create a social media page for the class where ideas can be shared. </w:t>
            </w:r>
          </w:p>
          <w:p w14:paraId="3DC73C8A" w14:textId="3E4F57DE" w:rsidR="7EB42175" w:rsidRDefault="7EB42175" w:rsidP="7EB4217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Watch a virtual event together and discuss it afterwards. </w:t>
            </w:r>
          </w:p>
          <w:p w14:paraId="65C33FFE" w14:textId="77777777" w:rsidR="00C1687E" w:rsidRDefault="00C1687E" w:rsidP="00C1687E">
            <w:pPr>
              <w:pStyle w:val="ListParagraph"/>
              <w:ind w:left="1080"/>
              <w:rPr>
                <w:color w:val="000000" w:themeColor="text1"/>
              </w:rPr>
            </w:pPr>
          </w:p>
          <w:p w14:paraId="1F0B7FC6" w14:textId="45F5548B" w:rsidR="00974E09" w:rsidRPr="007622B6" w:rsidRDefault="7EB42175" w:rsidP="00EA0DD6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Open a dialogue between inside and outside perspective. For example:</w:t>
            </w:r>
          </w:p>
          <w:p w14:paraId="03EC0823" w14:textId="77777777" w:rsidR="00B52872" w:rsidRPr="007622B6" w:rsidRDefault="7EB42175" w:rsidP="00974E09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Invite guest speakers to share their experience and insights via a synchronous session.</w:t>
            </w:r>
          </w:p>
          <w:p w14:paraId="3B922A94" w14:textId="6CBBF835" w:rsidR="00974E09" w:rsidRPr="007622B6" w:rsidRDefault="7EB42175" w:rsidP="00974E09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Record your conversations with a guest speaker via Zoom and post the video to the LMS later.</w:t>
            </w:r>
          </w:p>
          <w:p w14:paraId="70DB07AD" w14:textId="77777777" w:rsidR="00095AF5" w:rsidRPr="007622B6" w:rsidRDefault="7EB42175" w:rsidP="00095AF5">
            <w:pPr>
              <w:pStyle w:val="ListParagraph"/>
              <w:numPr>
                <w:ilvl w:val="1"/>
                <w:numId w:val="18"/>
              </w:numPr>
              <w:rPr>
                <w:color w:val="000000" w:themeColor="text1"/>
              </w:rPr>
            </w:pPr>
            <w:r w:rsidRPr="7EB42175">
              <w:rPr>
                <w:color w:val="000000" w:themeColor="text1"/>
              </w:rPr>
              <w:t>Share useful webinars or events in your field and encourage students to take part in professional events or activities.</w:t>
            </w:r>
          </w:p>
          <w:p w14:paraId="6480A1C7" w14:textId="24E49955" w:rsidR="00095AF5" w:rsidRPr="007622B6" w:rsidRDefault="00095AF5" w:rsidP="00095AF5">
            <w:pPr>
              <w:rPr>
                <w:color w:val="000000" w:themeColor="text1"/>
              </w:rPr>
            </w:pPr>
          </w:p>
        </w:tc>
        <w:tc>
          <w:tcPr>
            <w:tcW w:w="2190" w:type="dxa"/>
          </w:tcPr>
          <w:p w14:paraId="2646333B" w14:textId="4A9DF5BB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>BP</w:t>
            </w:r>
          </w:p>
          <w:p w14:paraId="0285D5C9" w14:textId="2DF632DD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385E6F63" w14:textId="0A571D8A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4104801E" w14:textId="26353549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>BP</w:t>
            </w:r>
          </w:p>
          <w:p w14:paraId="6A5D76FD" w14:textId="3FBEE3AA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10E2290A" w14:textId="49B3B1BE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65F920D3" w14:textId="47791167" w:rsidR="7EB42175" w:rsidRDefault="7EB42175" w:rsidP="7EB42175">
            <w:pPr>
              <w:pStyle w:val="ListParagraph"/>
              <w:rPr>
                <w:rFonts w:cs="Arial"/>
                <w:color w:val="0070C0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>BP</w:t>
            </w:r>
          </w:p>
          <w:p w14:paraId="3B797645" w14:textId="41034E40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7B6FDC89" w14:textId="50693967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791840F2" w14:textId="5EA107E0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1078810" w14:textId="59187A29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379954ED" w14:textId="10C1F401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15C1B645" w14:textId="23DFC66F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39385038" w14:textId="11C85D07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1C44DA4C" w14:textId="324B4527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5D8D9EB" w14:textId="179D50F4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62BC2D5" w14:textId="548413A5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26DF9873" w14:textId="64EDA148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  <w:p w14:paraId="5493AFFB" w14:textId="23DFC66F" w:rsidR="7EB42175" w:rsidRDefault="7EB42175" w:rsidP="7EB42175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</w:rPr>
            </w:pPr>
            <w:r w:rsidRPr="7EB42175">
              <w:rPr>
                <w:rFonts w:cs="Arial"/>
                <w:color w:val="00B050"/>
                <w:sz w:val="24"/>
                <w:szCs w:val="24"/>
              </w:rPr>
              <w:t xml:space="preserve">BP, </w:t>
            </w:r>
            <w:r w:rsidRPr="7EB42175">
              <w:rPr>
                <w:rFonts w:cs="Arial"/>
                <w:color w:val="0070C0"/>
                <w:sz w:val="24"/>
                <w:szCs w:val="24"/>
              </w:rPr>
              <w:t>HE</w:t>
            </w:r>
          </w:p>
          <w:p w14:paraId="34EF7F88" w14:textId="7FEEDF97" w:rsidR="7EB42175" w:rsidRDefault="7EB42175" w:rsidP="7EB42175">
            <w:pPr>
              <w:pStyle w:val="ListParagraph"/>
              <w:rPr>
                <w:rFonts w:cs="Arial"/>
                <w:color w:val="00B050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431575F" w14:textId="174525E1" w:rsidR="00974E09" w:rsidRPr="007622B6" w:rsidRDefault="00253584" w:rsidP="00974E09">
            <w:pPr>
              <w:rPr>
                <w:color w:val="000000" w:themeColor="text1"/>
              </w:rPr>
            </w:pPr>
            <w:hyperlink r:id="rId12" w:history="1">
              <w:r w:rsidR="00974E09" w:rsidRPr="007622B6">
                <w:rPr>
                  <w:rStyle w:val="Hyperlink"/>
                  <w:color w:val="000000" w:themeColor="text1"/>
                </w:rPr>
                <w:t>Five Ways to Build Community in Online Classrooms</w:t>
              </w:r>
            </w:hyperlink>
          </w:p>
          <w:p w14:paraId="52CADB77" w14:textId="4B523CF2" w:rsidR="00974E09" w:rsidRPr="007622B6" w:rsidRDefault="00974E09" w:rsidP="00974E09">
            <w:pPr>
              <w:rPr>
                <w:color w:val="000000" w:themeColor="text1"/>
              </w:rPr>
            </w:pPr>
          </w:p>
          <w:p w14:paraId="2CF8EC27" w14:textId="77777777" w:rsidR="00974E09" w:rsidRPr="007622B6" w:rsidRDefault="00974E09" w:rsidP="00974E09">
            <w:pPr>
              <w:rPr>
                <w:color w:val="000000" w:themeColor="text1"/>
              </w:rPr>
            </w:pPr>
          </w:p>
          <w:p w14:paraId="549BFA36" w14:textId="7EDABC1C" w:rsidR="00974E09" w:rsidRPr="007622B6" w:rsidRDefault="00974E09" w:rsidP="00974E09">
            <w:pPr>
              <w:rPr>
                <w:color w:val="000000" w:themeColor="text1"/>
              </w:rPr>
            </w:pPr>
          </w:p>
          <w:p w14:paraId="286F7DDA" w14:textId="77777777" w:rsidR="00974E09" w:rsidRPr="007622B6" w:rsidRDefault="00974E09" w:rsidP="00974E09">
            <w:pPr>
              <w:rPr>
                <w:color w:val="000000" w:themeColor="text1"/>
              </w:rPr>
            </w:pPr>
          </w:p>
          <w:p w14:paraId="35CB368C" w14:textId="77777777" w:rsidR="00974E09" w:rsidRPr="007622B6" w:rsidRDefault="00974E09" w:rsidP="002A7237">
            <w:pPr>
              <w:rPr>
                <w:color w:val="000000" w:themeColor="text1"/>
              </w:rPr>
            </w:pPr>
          </w:p>
        </w:tc>
      </w:tr>
    </w:tbl>
    <w:p w14:paraId="07E79740" w14:textId="77777777" w:rsidR="006E164E" w:rsidRPr="00274334" w:rsidRDefault="006E164E" w:rsidP="007E2248">
      <w:pPr>
        <w:pStyle w:val="Heading5"/>
        <w:rPr>
          <w:color w:val="000000" w:themeColor="text1"/>
        </w:rPr>
      </w:pPr>
    </w:p>
    <w:sectPr w:rsidR="006E164E" w:rsidRPr="00274334" w:rsidSect="00095AF5">
      <w:headerReference w:type="default" r:id="rId13"/>
      <w:footerReference w:type="even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D5B5" w14:textId="77777777" w:rsidR="00253584" w:rsidRDefault="00253584" w:rsidP="00145BDA">
      <w:r>
        <w:separator/>
      </w:r>
    </w:p>
  </w:endnote>
  <w:endnote w:type="continuationSeparator" w:id="0">
    <w:p w14:paraId="776AD2A6" w14:textId="77777777" w:rsidR="00253584" w:rsidRDefault="00253584" w:rsidP="0014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ld">
    <w:altName w:val="Arial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DA3C" w14:textId="77777777" w:rsidR="00727213" w:rsidRDefault="00727213" w:rsidP="00B015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7386E7" w14:textId="77777777" w:rsidR="00727213" w:rsidRDefault="00727213" w:rsidP="00B015D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9325D5" w14:textId="77777777" w:rsidR="00727213" w:rsidRDefault="00727213" w:rsidP="00B015D7">
    <w:pPr>
      <w:pStyle w:val="Footer"/>
      <w:framePr w:wrap="around" w:vAnchor="text" w:hAnchor="margin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235D43" w14:textId="77777777" w:rsidR="00727213" w:rsidRDefault="00727213" w:rsidP="009276C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BDF0F" w14:textId="77777777" w:rsidR="00727213" w:rsidRDefault="00727213" w:rsidP="00B015D7"/>
  <w:tbl>
    <w:tblPr>
      <w:tblStyle w:val="TableGrid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7"/>
      <w:gridCol w:w="8140"/>
    </w:tblGrid>
    <w:tr w:rsidR="00727213" w:rsidRPr="009276C8" w14:paraId="15C9DA43" w14:textId="77777777" w:rsidTr="00B015D7">
      <w:trPr>
        <w:trHeight w:val="310"/>
      </w:trPr>
      <w:tc>
        <w:tcPr>
          <w:tcW w:w="2173" w:type="pct"/>
          <w:vAlign w:val="center"/>
        </w:tcPr>
        <w:p w14:paraId="45E07E02" w14:textId="0E531223" w:rsidR="00727213" w:rsidRPr="007E2248" w:rsidRDefault="00727213" w:rsidP="009276C8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2827" w:type="pct"/>
          <w:vAlign w:val="center"/>
        </w:tcPr>
        <w:p w14:paraId="5C35C4C0" w14:textId="28B018F9" w:rsidR="00727213" w:rsidRPr="009276C8" w:rsidRDefault="003B234C" w:rsidP="009276C8">
          <w:pPr>
            <w:pStyle w:val="Footer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©201</w:t>
          </w:r>
          <w:r w:rsidR="00B015D7">
            <w:rPr>
              <w:rFonts w:cs="Arial"/>
              <w:sz w:val="20"/>
              <w:szCs w:val="20"/>
            </w:rPr>
            <w:t>9</w:t>
          </w:r>
          <w:r w:rsidR="00727213" w:rsidRPr="009276C8">
            <w:rPr>
              <w:rFonts w:cs="Arial"/>
              <w:sz w:val="20"/>
              <w:szCs w:val="20"/>
            </w:rPr>
            <w:t xml:space="preserve"> </w:t>
          </w:r>
          <w:hyperlink r:id="rId1" w:history="1">
            <w:r w:rsidR="00727213" w:rsidRPr="009276C8">
              <w:rPr>
                <w:rStyle w:val="Hyperlink"/>
                <w:rFonts w:cs="Arial"/>
                <w:sz w:val="20"/>
                <w:szCs w:val="20"/>
              </w:rPr>
              <w:t>www.FacultyeCommons.com</w:t>
            </w:r>
          </w:hyperlink>
        </w:p>
      </w:tc>
    </w:tr>
  </w:tbl>
  <w:p w14:paraId="5D94BDEF" w14:textId="6CBE05CA" w:rsidR="00727213" w:rsidRPr="007E2248" w:rsidRDefault="00727213" w:rsidP="00B015D7">
    <w:pPr>
      <w:pStyle w:val="Footer"/>
      <w:ind w:left="-720" w:firstLine="360"/>
      <w:rPr>
        <w:rFonts w:cs="Arial"/>
        <w:sz w:val="18"/>
        <w:szCs w:val="18"/>
      </w:rPr>
    </w:pPr>
    <w:r w:rsidRPr="007E2248">
      <w:rPr>
        <w:rFonts w:cs="Arial"/>
        <w:sz w:val="18"/>
        <w:szCs w:val="18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3B3E" w14:textId="77777777" w:rsidR="00253584" w:rsidRDefault="00253584" w:rsidP="00145BDA">
      <w:r>
        <w:separator/>
      </w:r>
    </w:p>
  </w:footnote>
  <w:footnote w:type="continuationSeparator" w:id="0">
    <w:p w14:paraId="4A36478D" w14:textId="77777777" w:rsidR="00253584" w:rsidRDefault="00253584" w:rsidP="0014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DDC9" w14:textId="77777777" w:rsidR="00727213" w:rsidRDefault="00727213" w:rsidP="00145BD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676CE" wp14:editId="5DF5EADA">
          <wp:simplePos x="0" y="0"/>
          <wp:positionH relativeFrom="column">
            <wp:posOffset>6861598</wp:posOffset>
          </wp:positionH>
          <wp:positionV relativeFrom="paragraph">
            <wp:posOffset>-123825</wp:posOffset>
          </wp:positionV>
          <wp:extent cx="1581785" cy="473710"/>
          <wp:effectExtent l="0" t="0" r="0" b="0"/>
          <wp:wrapTight wrapText="bothSides">
            <wp:wrapPolygon edited="0">
              <wp:start x="2775" y="1158"/>
              <wp:lineTo x="1734" y="8107"/>
              <wp:lineTo x="1734" y="12740"/>
              <wp:lineTo x="3122" y="19689"/>
              <wp:lineTo x="5550" y="19689"/>
              <wp:lineTo x="19424" y="15056"/>
              <wp:lineTo x="19424" y="4633"/>
              <wp:lineTo x="5550" y="1158"/>
              <wp:lineTo x="2775" y="1158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029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821ED"/>
    <w:multiLevelType w:val="hybridMultilevel"/>
    <w:tmpl w:val="35324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60C"/>
    <w:multiLevelType w:val="hybridMultilevel"/>
    <w:tmpl w:val="6586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5DB"/>
    <w:multiLevelType w:val="hybridMultilevel"/>
    <w:tmpl w:val="E6CA9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91CAA"/>
    <w:multiLevelType w:val="hybridMultilevel"/>
    <w:tmpl w:val="1AA4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6B1"/>
    <w:multiLevelType w:val="hybridMultilevel"/>
    <w:tmpl w:val="8B5E0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B1B07"/>
    <w:multiLevelType w:val="hybridMultilevel"/>
    <w:tmpl w:val="FD8ECAC4"/>
    <w:lvl w:ilvl="0" w:tplc="A38017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61A94"/>
    <w:multiLevelType w:val="hybridMultilevel"/>
    <w:tmpl w:val="8E468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1235D"/>
    <w:multiLevelType w:val="hybridMultilevel"/>
    <w:tmpl w:val="876C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D6B"/>
    <w:multiLevelType w:val="hybridMultilevel"/>
    <w:tmpl w:val="C082E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334221"/>
    <w:multiLevelType w:val="hybridMultilevel"/>
    <w:tmpl w:val="7B0034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7E713B"/>
    <w:multiLevelType w:val="hybridMultilevel"/>
    <w:tmpl w:val="7510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058F0"/>
    <w:multiLevelType w:val="multilevel"/>
    <w:tmpl w:val="7F7C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392830"/>
    <w:multiLevelType w:val="hybridMultilevel"/>
    <w:tmpl w:val="F9561984"/>
    <w:lvl w:ilvl="0" w:tplc="A38017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43CEF"/>
    <w:multiLevelType w:val="hybridMultilevel"/>
    <w:tmpl w:val="A46C398A"/>
    <w:lvl w:ilvl="0" w:tplc="C0366486">
      <w:start w:val="1"/>
      <w:numFmt w:val="decimal"/>
      <w:lvlText w:val="%1."/>
      <w:lvlJc w:val="left"/>
      <w:pPr>
        <w:ind w:left="720" w:hanging="360"/>
      </w:pPr>
    </w:lvl>
    <w:lvl w:ilvl="1" w:tplc="BEF45178">
      <w:start w:val="1"/>
      <w:numFmt w:val="lowerLetter"/>
      <w:lvlText w:val="%2."/>
      <w:lvlJc w:val="left"/>
      <w:pPr>
        <w:ind w:left="1440" w:hanging="360"/>
      </w:pPr>
    </w:lvl>
    <w:lvl w:ilvl="2" w:tplc="C3645472">
      <w:start w:val="1"/>
      <w:numFmt w:val="lowerRoman"/>
      <w:lvlText w:val="%3."/>
      <w:lvlJc w:val="right"/>
      <w:pPr>
        <w:ind w:left="2160" w:hanging="180"/>
      </w:pPr>
    </w:lvl>
    <w:lvl w:ilvl="3" w:tplc="29AE5106">
      <w:start w:val="1"/>
      <w:numFmt w:val="decimal"/>
      <w:lvlText w:val="%4."/>
      <w:lvlJc w:val="left"/>
      <w:pPr>
        <w:ind w:left="2880" w:hanging="360"/>
      </w:pPr>
    </w:lvl>
    <w:lvl w:ilvl="4" w:tplc="DF323A4A">
      <w:start w:val="1"/>
      <w:numFmt w:val="lowerLetter"/>
      <w:lvlText w:val="%5."/>
      <w:lvlJc w:val="left"/>
      <w:pPr>
        <w:ind w:left="3600" w:hanging="360"/>
      </w:pPr>
    </w:lvl>
    <w:lvl w:ilvl="5" w:tplc="907444E0">
      <w:start w:val="1"/>
      <w:numFmt w:val="lowerRoman"/>
      <w:lvlText w:val="%6."/>
      <w:lvlJc w:val="right"/>
      <w:pPr>
        <w:ind w:left="4320" w:hanging="180"/>
      </w:pPr>
    </w:lvl>
    <w:lvl w:ilvl="6" w:tplc="CA3CD64E">
      <w:start w:val="1"/>
      <w:numFmt w:val="decimal"/>
      <w:lvlText w:val="%7."/>
      <w:lvlJc w:val="left"/>
      <w:pPr>
        <w:ind w:left="5040" w:hanging="360"/>
      </w:pPr>
    </w:lvl>
    <w:lvl w:ilvl="7" w:tplc="236AF7F6">
      <w:start w:val="1"/>
      <w:numFmt w:val="lowerLetter"/>
      <w:lvlText w:val="%8."/>
      <w:lvlJc w:val="left"/>
      <w:pPr>
        <w:ind w:left="5760" w:hanging="360"/>
      </w:pPr>
    </w:lvl>
    <w:lvl w:ilvl="8" w:tplc="2320DA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F6291"/>
    <w:multiLevelType w:val="hybridMultilevel"/>
    <w:tmpl w:val="E4565A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F393E"/>
    <w:multiLevelType w:val="multilevel"/>
    <w:tmpl w:val="9036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FE6094"/>
    <w:multiLevelType w:val="hybridMultilevel"/>
    <w:tmpl w:val="CC0ED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E20CC3"/>
    <w:multiLevelType w:val="hybridMultilevel"/>
    <w:tmpl w:val="5AC0F22A"/>
    <w:lvl w:ilvl="0" w:tplc="E9C493C4">
      <w:numFmt w:val="bullet"/>
      <w:pStyle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D7054"/>
    <w:multiLevelType w:val="hybridMultilevel"/>
    <w:tmpl w:val="153A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636E7"/>
    <w:multiLevelType w:val="hybridMultilevel"/>
    <w:tmpl w:val="EBAE2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19"/>
  </w:num>
  <w:num w:numId="6">
    <w:abstractNumId w:val="18"/>
  </w:num>
  <w:num w:numId="7">
    <w:abstractNumId w:val="4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7"/>
  </w:num>
  <w:num w:numId="13">
    <w:abstractNumId w:val="3"/>
  </w:num>
  <w:num w:numId="14">
    <w:abstractNumId w:val="11"/>
  </w:num>
  <w:num w:numId="15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7"/>
  </w:num>
  <w:num w:numId="17">
    <w:abstractNumId w:val="16"/>
  </w:num>
  <w:num w:numId="18">
    <w:abstractNumId w:val="15"/>
  </w:num>
  <w:num w:numId="19">
    <w:abstractNumId w:val="2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5C"/>
    <w:rsid w:val="00073B5B"/>
    <w:rsid w:val="00095AF5"/>
    <w:rsid w:val="00097509"/>
    <w:rsid w:val="000975A6"/>
    <w:rsid w:val="000B2D0E"/>
    <w:rsid w:val="000C319F"/>
    <w:rsid w:val="000E521D"/>
    <w:rsid w:val="000F1259"/>
    <w:rsid w:val="00117B64"/>
    <w:rsid w:val="00141C5C"/>
    <w:rsid w:val="00145BDA"/>
    <w:rsid w:val="00175ED5"/>
    <w:rsid w:val="001957BB"/>
    <w:rsid w:val="001B51EE"/>
    <w:rsid w:val="001D6428"/>
    <w:rsid w:val="0023455A"/>
    <w:rsid w:val="00253584"/>
    <w:rsid w:val="00274334"/>
    <w:rsid w:val="0028073E"/>
    <w:rsid w:val="002A38B7"/>
    <w:rsid w:val="002B085F"/>
    <w:rsid w:val="00301829"/>
    <w:rsid w:val="0035547F"/>
    <w:rsid w:val="00365F26"/>
    <w:rsid w:val="003771F7"/>
    <w:rsid w:val="003B234C"/>
    <w:rsid w:val="003C7EA7"/>
    <w:rsid w:val="00406D79"/>
    <w:rsid w:val="00445E90"/>
    <w:rsid w:val="004E30E0"/>
    <w:rsid w:val="004F768D"/>
    <w:rsid w:val="00593386"/>
    <w:rsid w:val="0059458C"/>
    <w:rsid w:val="005E5072"/>
    <w:rsid w:val="005F3777"/>
    <w:rsid w:val="00637FB6"/>
    <w:rsid w:val="00651721"/>
    <w:rsid w:val="0068286A"/>
    <w:rsid w:val="006E091F"/>
    <w:rsid w:val="006E164E"/>
    <w:rsid w:val="006E1CCE"/>
    <w:rsid w:val="006F1FF4"/>
    <w:rsid w:val="006F239A"/>
    <w:rsid w:val="00716FD0"/>
    <w:rsid w:val="00726703"/>
    <w:rsid w:val="00727213"/>
    <w:rsid w:val="007618FA"/>
    <w:rsid w:val="007622B6"/>
    <w:rsid w:val="007B35E9"/>
    <w:rsid w:val="007E2248"/>
    <w:rsid w:val="007F33D0"/>
    <w:rsid w:val="0084553D"/>
    <w:rsid w:val="00873A0D"/>
    <w:rsid w:val="00874CA0"/>
    <w:rsid w:val="00880141"/>
    <w:rsid w:val="008B546B"/>
    <w:rsid w:val="008B5735"/>
    <w:rsid w:val="008F6585"/>
    <w:rsid w:val="009276C8"/>
    <w:rsid w:val="00930750"/>
    <w:rsid w:val="00953FE5"/>
    <w:rsid w:val="00974E09"/>
    <w:rsid w:val="00976C18"/>
    <w:rsid w:val="009A2EAD"/>
    <w:rsid w:val="009F1F28"/>
    <w:rsid w:val="00A570E9"/>
    <w:rsid w:val="00A851E9"/>
    <w:rsid w:val="00AB2FD6"/>
    <w:rsid w:val="00AB68D5"/>
    <w:rsid w:val="00AC415C"/>
    <w:rsid w:val="00B015D7"/>
    <w:rsid w:val="00B04C5B"/>
    <w:rsid w:val="00B04D85"/>
    <w:rsid w:val="00B52872"/>
    <w:rsid w:val="00B8530A"/>
    <w:rsid w:val="00BB5649"/>
    <w:rsid w:val="00BC3C49"/>
    <w:rsid w:val="00C1094F"/>
    <w:rsid w:val="00C1687E"/>
    <w:rsid w:val="00C31EDC"/>
    <w:rsid w:val="00C72A91"/>
    <w:rsid w:val="00CA4357"/>
    <w:rsid w:val="00CB02AE"/>
    <w:rsid w:val="00CC3964"/>
    <w:rsid w:val="00CF41E4"/>
    <w:rsid w:val="00D32569"/>
    <w:rsid w:val="00DE37C1"/>
    <w:rsid w:val="00DE5523"/>
    <w:rsid w:val="00DE61C9"/>
    <w:rsid w:val="00E01868"/>
    <w:rsid w:val="00E43EF6"/>
    <w:rsid w:val="00E45A26"/>
    <w:rsid w:val="00E70EF7"/>
    <w:rsid w:val="00E9365D"/>
    <w:rsid w:val="00EA0DD6"/>
    <w:rsid w:val="00EB32EC"/>
    <w:rsid w:val="00EB5A6B"/>
    <w:rsid w:val="00F05384"/>
    <w:rsid w:val="00F15718"/>
    <w:rsid w:val="00F52C73"/>
    <w:rsid w:val="00F5325C"/>
    <w:rsid w:val="00FB7340"/>
    <w:rsid w:val="00FC4907"/>
    <w:rsid w:val="00FF3627"/>
    <w:rsid w:val="16DB3E39"/>
    <w:rsid w:val="7EB4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4754F1"/>
  <w14:defaultImageDpi w14:val="300"/>
  <w15:docId w15:val="{7018A913-0BFA-426C-B7BC-1D80848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234C"/>
    <w:rPr>
      <w:rFonts w:ascii="Arial" w:eastAsia="Calibri" w:hAnsi="Arial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A6B"/>
    <w:pPr>
      <w:keepNext/>
      <w:keepLines/>
      <w:spacing w:before="480"/>
      <w:outlineLvl w:val="0"/>
    </w:pPr>
    <w:rPr>
      <w:rFonts w:ascii="Gotham Bold" w:eastAsiaTheme="majorEastAsia" w:hAnsi="Gotham Bold" w:cs="Arial"/>
      <w:b/>
      <w:bCs/>
      <w:color w:val="1627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CCE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A91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248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2248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2248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0E9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CCE"/>
    <w:rPr>
      <w:rFonts w:ascii="Gotham Book" w:eastAsia="Times New Roman" w:hAnsi="Gotham Book" w:cs="Times New Roman"/>
      <w:b/>
      <w:bCs/>
      <w:iCs/>
      <w:szCs w:val="2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F5325C"/>
    <w:pPr>
      <w:ind w:left="720"/>
    </w:pPr>
  </w:style>
  <w:style w:type="character" w:styleId="Hyperlink">
    <w:name w:val="Hyperlink"/>
    <w:uiPriority w:val="99"/>
    <w:unhideWhenUsed/>
    <w:rsid w:val="00F532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BD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5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BDA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B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BDA"/>
    <w:rPr>
      <w:rFonts w:ascii="Lucida Grande" w:eastAsia="Calibr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5A6B"/>
    <w:rPr>
      <w:rFonts w:ascii="Gotham Bold" w:eastAsiaTheme="majorEastAsia" w:hAnsi="Gotham Bold" w:cs="Arial"/>
      <w:b/>
      <w:bCs/>
      <w:color w:val="16274B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2A91"/>
    <w:rPr>
      <w:rFonts w:ascii="Gotham Book" w:eastAsiaTheme="majorEastAsia" w:hAnsi="Gotham Book" w:cstheme="majorBidi"/>
      <w:b/>
      <w:bCs/>
      <w:color w:val="4F81BD" w:themeColor="accent1"/>
      <w:sz w:val="22"/>
      <w:szCs w:val="22"/>
    </w:rPr>
  </w:style>
  <w:style w:type="table" w:styleId="TableGrid">
    <w:name w:val="Table Grid"/>
    <w:basedOn w:val="TableNormal"/>
    <w:uiPriority w:val="59"/>
    <w:rsid w:val="0092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276C8"/>
  </w:style>
  <w:style w:type="paragraph" w:styleId="NoSpacing">
    <w:name w:val="No Spacing"/>
    <w:uiPriority w:val="1"/>
    <w:qFormat/>
    <w:rsid w:val="007E2248"/>
    <w:rPr>
      <w:rFonts w:ascii="Arial" w:eastAsia="Calibri" w:hAnsi="Arial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2248"/>
    <w:rPr>
      <w:rFonts w:ascii="Arial" w:eastAsiaTheme="majorEastAsia" w:hAnsi="Arial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2248"/>
    <w:rPr>
      <w:rFonts w:ascii="Arial" w:eastAsiaTheme="majorEastAsia" w:hAnsi="Arial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2248"/>
    <w:rPr>
      <w:rFonts w:ascii="Arial" w:eastAsiaTheme="majorEastAsia" w:hAnsi="Arial" w:cstheme="majorBidi"/>
      <w:color w:val="243F60" w:themeColor="accent1" w:themeShade="7F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A570E9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A570E9"/>
    <w:rPr>
      <w:rFonts w:ascii="Arial" w:hAnsi="Arial"/>
      <w:b/>
      <w:bCs/>
      <w:smallCaps/>
      <w:color w:val="4F81BD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A570E9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A570E9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570E9"/>
    <w:rPr>
      <w:rFonts w:ascii="Arial" w:hAnsi="Arial"/>
      <w:b/>
      <w:bCs/>
      <w:color w:val="auto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570E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0E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0E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70E9"/>
    <w:rPr>
      <w:rFonts w:ascii="Arial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570E9"/>
    <w:rPr>
      <w:rFonts w:ascii="Arial" w:hAnsi="Arial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rsid w:val="00A570E9"/>
    <w:rPr>
      <w:rFonts w:ascii="Arial" w:eastAsiaTheme="majorEastAsia" w:hAnsi="Arial" w:cstheme="majorBidi"/>
      <w:i/>
      <w:iCs/>
      <w:color w:val="243F60" w:themeColor="accent1" w:themeShade="7F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3B234C"/>
    <w:pPr>
      <w:numPr>
        <w:numId w:val="6"/>
      </w:numPr>
      <w:contextualSpacing/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70E9"/>
    <w:rPr>
      <w:rFonts w:ascii="Arial" w:eastAsia="Calibri" w:hAnsi="Arial" w:cs="Times New Roman"/>
      <w:sz w:val="22"/>
      <w:szCs w:val="22"/>
    </w:rPr>
  </w:style>
  <w:style w:type="character" w:customStyle="1" w:styleId="BulletChar">
    <w:name w:val="Bullet Char"/>
    <w:basedOn w:val="ListParagraphChar"/>
    <w:link w:val="Bullet"/>
    <w:rsid w:val="003B234C"/>
    <w:rPr>
      <w:rFonts w:ascii="Arial" w:eastAsia="Calibri" w:hAnsi="Arial" w:cs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E30E0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F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FB6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ervices.wiley.com/tips-designing-moderating-large-online-cours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chonline.asu.edu/2018/09/best-practices-for-large-enrollment-courses-in-canvas/" TargetMode="External"/><Relationship Id="rId12" Type="http://schemas.openxmlformats.org/officeDocument/2006/relationships/hyperlink" Target="https://www.facultyfocus.com/articles/online-education/five-ways-to-build-community-in-online-classroom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orado.edu/assett/faculty-resources/resources/survivor-strategies-teaching-large-enrollment-class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nsidehighered.com/digital-learning/views/2017/09/06/how-provide-meaningful-feedback-online-cour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ft.vanderbilt.edu/guides-sub-pages/grading-student-work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ultyeComm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na</dc:creator>
  <cp:keywords/>
  <dc:description/>
  <cp:lastModifiedBy>Sonja Strahl</cp:lastModifiedBy>
  <cp:revision>3</cp:revision>
  <dcterms:created xsi:type="dcterms:W3CDTF">2019-10-15T20:53:00Z</dcterms:created>
  <dcterms:modified xsi:type="dcterms:W3CDTF">2019-10-15T20:53:00Z</dcterms:modified>
</cp:coreProperties>
</file>